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75" w:type="dxa"/>
        <w:jc w:val="left"/>
        <w:tblInd w:w="42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758"/>
        <w:gridCol w:w="1127"/>
        <w:gridCol w:w="4190"/>
      </w:tblGrid>
      <w:tr>
        <w:trPr>
          <w:trHeight w:val="1878" w:hRule="atLeast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277" w:hanging="284"/>
              <w:outlineLvl w:val="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Obecní úřad  Rokytno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utlineLvl w:val="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Rokytno 21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utlineLvl w:val="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533 04  Rokytno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utlineLvl w:val="1"/>
              <w:rPr>
                <w:b/>
                <w:b/>
                <w:i/>
                <w:i/>
                <w:sz w:val="24"/>
              </w:rPr>
            </w:pPr>
            <w:r>
              <w:rPr>
                <w:rFonts w:eastAsia="Wingdings" w:cs="Wingdings" w:ascii="Wingdings" w:hAnsi="Wingdings"/>
                <w:b/>
                <w:sz w:val="24"/>
              </w:rPr>
              <w:t>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466 989 128</w:t>
            </w:r>
          </w:p>
        </w:tc>
        <w:tc>
          <w:tcPr>
            <w:tcW w:w="11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firstLine="708"/>
              <w:outlineLvl w:val="1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jc w:val="both"/>
              <w:outlineLvl w:val="1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OHLÁŠENÍ  PLÁTCE  POPLATKU</w:t>
      </w:r>
    </w:p>
    <w:p>
      <w:pPr>
        <w:pStyle w:val="Normal"/>
        <w:ind w:left="426" w:hanging="0"/>
        <w:rPr>
          <w:sz w:val="24"/>
          <w:szCs w:val="24"/>
        </w:rPr>
      </w:pPr>
      <w:r>
        <w:rPr>
          <w:sz w:val="12"/>
          <w:szCs w:val="12"/>
        </w:rPr>
        <w:br/>
        <w:br/>
      </w:r>
      <w:r>
        <w:rPr>
          <w:b/>
          <w:sz w:val="24"/>
          <w:szCs w:val="24"/>
        </w:rPr>
        <w:t>A.  ÚDAJE O PLÁTCI POPLATKU (  majitel nemovitosti nebo SVJ )</w:t>
      </w:r>
      <w:r>
        <w:rPr>
          <w:sz w:val="24"/>
          <w:szCs w:val="24"/>
        </w:rPr>
        <w:br/>
      </w:r>
    </w:p>
    <w:p>
      <w:pPr>
        <w:pStyle w:val="Normal"/>
        <w:spacing w:lineRule="auto" w:line="360"/>
        <w:ind w:left="425" w:hanging="0"/>
        <w:rPr>
          <w:sz w:val="4"/>
          <w:szCs w:val="4"/>
        </w:rPr>
      </w:pPr>
      <w:r>
        <w:rPr>
          <w:sz w:val="24"/>
          <w:szCs w:val="24"/>
        </w:rPr>
        <w:t>Jméno a příjmení (název SVJ):         ……………………..………………………….…………………….</w:t>
      </w:r>
    </w:p>
    <w:p>
      <w:pPr>
        <w:pStyle w:val="Normal"/>
        <w:spacing w:lineRule="auto" w:line="360"/>
        <w:ind w:left="425" w:hanging="0"/>
        <w:rPr>
          <w:sz w:val="24"/>
          <w:szCs w:val="24"/>
        </w:rPr>
      </w:pPr>
      <w:r>
        <w:rPr>
          <w:sz w:val="4"/>
          <w:szCs w:val="4"/>
        </w:rPr>
        <w:br/>
      </w:r>
      <w:r>
        <w:rPr>
          <w:sz w:val="24"/>
          <w:szCs w:val="24"/>
        </w:rPr>
        <w:t>Datum narození (IČO) :                    ………………….…..……………………………….</w:t>
      </w:r>
    </w:p>
    <w:p>
      <w:pPr>
        <w:pStyle w:val="Normal"/>
        <w:spacing w:lineRule="auto" w:line="360"/>
        <w:ind w:left="425" w:hanging="0"/>
        <w:rPr>
          <w:sz w:val="24"/>
          <w:szCs w:val="24"/>
        </w:rPr>
      </w:pPr>
      <w:r>
        <w:rPr>
          <w:sz w:val="4"/>
          <w:szCs w:val="4"/>
        </w:rPr>
        <w:br/>
      </w:r>
      <w:r>
        <w:rPr>
          <w:sz w:val="24"/>
          <w:szCs w:val="24"/>
        </w:rPr>
        <w:t>Telefon*:                                           ……………….….…….…………………………….</w:t>
      </w:r>
    </w:p>
    <w:p>
      <w:pPr>
        <w:pStyle w:val="Normal"/>
        <w:spacing w:lineRule="auto" w:line="360"/>
        <w:ind w:left="425" w:hanging="0"/>
        <w:rPr>
          <w:sz w:val="24"/>
          <w:szCs w:val="24"/>
        </w:rPr>
      </w:pPr>
      <w:r>
        <w:rPr>
          <w:sz w:val="24"/>
          <w:szCs w:val="24"/>
        </w:rPr>
        <w:t>Email*:</w:t>
        <w:tab/>
        <w:tab/>
        <w:t xml:space="preserve">                              …………….……………………………..………….</w:t>
      </w:r>
    </w:p>
    <w:p>
      <w:pPr>
        <w:pStyle w:val="Normal"/>
        <w:spacing w:lineRule="auto" w:line="360"/>
        <w:ind w:left="425" w:hanging="0"/>
        <w:rPr>
          <w:sz w:val="24"/>
          <w:szCs w:val="24"/>
        </w:rPr>
      </w:pPr>
      <w:r>
        <w:rPr>
          <w:sz w:val="4"/>
          <w:szCs w:val="4"/>
        </w:rPr>
        <w:br/>
      </w:r>
      <w:r>
        <w:rPr>
          <w:sz w:val="24"/>
          <w:szCs w:val="24"/>
        </w:rPr>
        <w:t xml:space="preserve">Adresa trvalého pobytu: </w:t>
        <w:tab/>
        <w:t xml:space="preserve">                  …………………………………………………………….……….</w:t>
      </w:r>
    </w:p>
    <w:p>
      <w:pPr>
        <w:pStyle w:val="Normal"/>
        <w:spacing w:lineRule="auto" w:line="360"/>
        <w:ind w:left="425" w:hanging="0"/>
        <w:rPr>
          <w:sz w:val="24"/>
          <w:szCs w:val="24"/>
        </w:rPr>
      </w:pPr>
      <w:r>
        <w:rPr>
          <w:sz w:val="24"/>
          <w:szCs w:val="24"/>
        </w:rPr>
        <w:t>Adresa pro doručování (pokud je rozdílná od trvalého pobytu)  ……..………………………………….</w:t>
      </w:r>
    </w:p>
    <w:p>
      <w:pPr>
        <w:pStyle w:val="Normal"/>
        <w:ind w:left="426" w:hanging="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B.   ÚDAJE O NEMOVITOSTI</w:t>
      </w:r>
      <w:r>
        <w:rPr>
          <w:sz w:val="24"/>
          <w:szCs w:val="24"/>
        </w:rPr>
        <w:br/>
      </w:r>
    </w:p>
    <w:p>
      <w:pPr>
        <w:pStyle w:val="Normal"/>
        <w:ind w:left="426" w:hanging="0"/>
        <w:rPr>
          <w:sz w:val="4"/>
          <w:szCs w:val="4"/>
        </w:rPr>
      </w:pPr>
      <w:r>
        <w:rPr>
          <w:sz w:val="24"/>
          <w:szCs w:val="24"/>
        </w:rPr>
        <w:t xml:space="preserve">Místní část obce  a číslo popisné domu: </w:t>
        <w:tab/>
        <w:t xml:space="preserve">        …………………………………………</w:t>
      </w:r>
      <w:r>
        <w:rPr>
          <w:sz w:val="4"/>
          <w:szCs w:val="4"/>
        </w:rPr>
        <w:t xml:space="preserve">  </w:t>
      </w:r>
    </w:p>
    <w:p>
      <w:pPr>
        <w:pStyle w:val="Normal"/>
        <w:ind w:left="426" w:hanging="0"/>
        <w:rPr>
          <w:b/>
          <w:b/>
          <w:sz w:val="24"/>
          <w:szCs w:val="24"/>
        </w:rPr>
      </w:pPr>
      <w:r>
        <w:rPr>
          <w:sz w:val="8"/>
          <w:szCs w:val="8"/>
        </w:rPr>
        <w:br/>
        <w:br/>
      </w:r>
      <w:r>
        <w:rPr>
          <w:sz w:val="24"/>
          <w:szCs w:val="24"/>
        </w:rPr>
        <w:t>Počet bydlících (poplatníků)</w:t>
      </w:r>
      <w:r>
        <w:rPr>
          <w:sz w:val="24"/>
          <w:szCs w:val="24"/>
          <w:vertAlign w:val="superscript"/>
        </w:rPr>
        <w:tab/>
        <w:t xml:space="preserve">   </w:t>
      </w:r>
      <w:r>
        <w:rPr>
          <w:sz w:val="24"/>
          <w:szCs w:val="24"/>
        </w:rPr>
        <w:t xml:space="preserve">                             …………………..………….…………..</w:t>
        <w:br/>
      </w:r>
    </w:p>
    <w:p>
      <w:pPr>
        <w:pStyle w:val="Normal"/>
        <w:ind w:left="426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C.   ZVOLENÁ KAPACITA SOUSTŘEĎOVACÍCH PROSTŘEDKŮ NA ODPAD </w:t>
      </w:r>
    </w:p>
    <w:p>
      <w:pPr>
        <w:pStyle w:val="Normal"/>
        <w:ind w:left="426" w:hanging="0"/>
        <w:rPr>
          <w:bCs/>
          <w:sz w:val="4"/>
          <w:szCs w:val="4"/>
        </w:rPr>
      </w:pPr>
      <w:r>
        <w:rPr>
          <w:bCs/>
          <w:sz w:val="24"/>
          <w:szCs w:val="24"/>
        </w:rPr>
        <w:t xml:space="preserve">       </w:t>
      </w:r>
    </w:p>
    <w:p>
      <w:pPr>
        <w:pStyle w:val="Normal"/>
        <w:ind w:left="426" w:hanging="0"/>
        <w:rPr>
          <w:bCs/>
          <w:sz w:val="4"/>
          <w:szCs w:val="4"/>
        </w:rPr>
      </w:pPr>
      <w:r>
        <w:rPr>
          <w:bCs/>
          <w:sz w:val="4"/>
          <w:szCs w:val="4"/>
        </w:rPr>
      </w:r>
    </w:p>
    <w:p>
      <w:pPr>
        <w:pStyle w:val="Normal"/>
        <w:ind w:left="426" w:hanging="0"/>
        <w:rPr>
          <w:bCs/>
          <w:sz w:val="16"/>
          <w:szCs w:val="16"/>
        </w:rPr>
      </w:pPr>
      <w:r>
        <w:rPr>
          <w:bCs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Doplňte počet kusů nádob</w:t>
      </w:r>
    </w:p>
    <w:tbl>
      <w:tblPr>
        <w:tblpPr w:vertAnchor="page" w:horzAnchor="margin" w:tblpXSpec="center" w:leftFromText="141" w:rightFromText="141" w:tblpY="9361"/>
        <w:tblW w:w="665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550"/>
        <w:gridCol w:w="2830"/>
        <w:gridCol w:w="1278"/>
      </w:tblGrid>
      <w:tr>
        <w:trPr>
          <w:trHeight w:val="415" w:hRule="atLeast"/>
        </w:trPr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objem nádoby</w:t>
            </w:r>
          </w:p>
        </w:tc>
        <w:tc>
          <w:tcPr>
            <w:tcW w:w="2830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frekvence svozu</w:t>
            </w:r>
          </w:p>
        </w:tc>
        <w:tc>
          <w:tcPr>
            <w:tcW w:w="1278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počet kusů</w:t>
            </w:r>
          </w:p>
        </w:tc>
      </w:tr>
      <w:tr>
        <w:trPr>
          <w:trHeight w:val="339" w:hRule="atLeast"/>
        </w:trPr>
        <w:tc>
          <w:tcPr>
            <w:tcW w:w="2550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 l</w:t>
            </w:r>
          </w:p>
        </w:tc>
        <w:tc>
          <w:tcPr>
            <w:tcW w:w="2830" w:type="dxa"/>
            <w:tcBorders>
              <w:bottom w:val="dashed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x za měsíc</w:t>
            </w:r>
          </w:p>
        </w:tc>
        <w:tc>
          <w:tcPr>
            <w:tcW w:w="1278" w:type="dxa"/>
            <w:tcBorders>
              <w:bottom w:val="dashed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339" w:hRule="atLeast"/>
        </w:trPr>
        <w:tc>
          <w:tcPr>
            <w:tcW w:w="2550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 l</w:t>
            </w:r>
          </w:p>
        </w:tc>
        <w:tc>
          <w:tcPr>
            <w:tcW w:w="2830" w:type="dxa"/>
            <w:tcBorders>
              <w:bottom w:val="dashed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x za měsíc</w:t>
            </w:r>
          </w:p>
        </w:tc>
        <w:tc>
          <w:tcPr>
            <w:tcW w:w="1278" w:type="dxa"/>
            <w:tcBorders>
              <w:bottom w:val="dashed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339" w:hRule="atLeast"/>
        </w:trPr>
        <w:tc>
          <w:tcPr>
            <w:tcW w:w="2550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240 l</w:t>
            </w:r>
          </w:p>
        </w:tc>
        <w:tc>
          <w:tcPr>
            <w:tcW w:w="2830" w:type="dxa"/>
            <w:tcBorders>
              <w:bottom w:val="dashed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x za měsíc</w:t>
            </w:r>
          </w:p>
        </w:tc>
        <w:tc>
          <w:tcPr>
            <w:tcW w:w="1278" w:type="dxa"/>
            <w:tcBorders>
              <w:bottom w:val="dashed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339" w:hRule="atLeast"/>
        </w:trPr>
        <w:tc>
          <w:tcPr>
            <w:tcW w:w="2550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pytel  120 l  5 kusů sada</w:t>
            </w:r>
          </w:p>
        </w:tc>
        <w:tc>
          <w:tcPr>
            <w:tcW w:w="2830" w:type="dxa"/>
            <w:tcBorders>
              <w:bottom w:val="dashed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jednotlivý vývoz</w:t>
            </w:r>
          </w:p>
        </w:tc>
        <w:tc>
          <w:tcPr>
            <w:tcW w:w="1278" w:type="dxa"/>
            <w:tcBorders>
              <w:bottom w:val="dashed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ind w:left="426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426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426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426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426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426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426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426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Dojde-li ke změně údajů uvedených v ohlášení, je plátce poplatku povinen tuto změnu ohlásit </w:t>
      </w:r>
    </w:p>
    <w:p>
      <w:pPr>
        <w:pStyle w:val="Normal"/>
        <w:ind w:left="426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30-ti dnů ode dne , kdy nastala.</w:t>
      </w:r>
    </w:p>
    <w:p>
      <w:pPr>
        <w:pStyle w:val="Normal"/>
        <w:ind w:left="426" w:hanging="0"/>
        <w:rPr>
          <w:sz w:val="32"/>
          <w:szCs w:val="32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left="426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Datum:</w:t>
        <w:tab/>
        <w:t xml:space="preserve">……………………………….               Podpis plátce:           ……………………………………. </w:t>
      </w:r>
    </w:p>
    <w:p>
      <w:pPr>
        <w:pStyle w:val="Normal"/>
        <w:ind w:left="426" w:hanging="0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ind w:left="426" w:hanging="0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ind w:left="426" w:hanging="0"/>
        <w:rPr/>
      </w:pPr>
      <w:r>
        <w:rPr/>
        <w:t>* nepovinný údaj</w:t>
      </w:r>
    </w:p>
    <w:p>
      <w:pPr>
        <w:pStyle w:val="Normal"/>
        <w:tabs>
          <w:tab w:val="left" w:pos="709" w:leader="none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09" w:leader="none"/>
        </w:tabs>
        <w:ind w:firstLine="425"/>
        <w:jc w:val="both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P</w:t>
      </w:r>
      <w:r>
        <w:rPr>
          <w:b/>
          <w:bCs/>
          <w:sz w:val="24"/>
          <w:szCs w:val="24"/>
        </w:rPr>
        <w:t>oplatek lze zaplatit takto:</w:t>
      </w:r>
    </w:p>
    <w:p>
      <w:pPr>
        <w:pStyle w:val="Normal"/>
        <w:tabs>
          <w:tab w:val="left" w:pos="709" w:leader="none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hotově v kanceláři obecního úřadu v Rokytně </w:t>
      </w:r>
    </w:p>
    <w:p>
      <w:pPr>
        <w:pStyle w:val="Normal"/>
        <w:ind w:left="426" w:hanging="0"/>
        <w:jc w:val="both"/>
        <w:rPr>
          <w:sz w:val="24"/>
          <w:szCs w:val="24"/>
        </w:rPr>
      </w:pPr>
      <w:r>
        <w:rPr>
          <w:sz w:val="24"/>
          <w:szCs w:val="24"/>
        </w:rPr>
        <w:t>2. bezhotovostně bankovním převodem na účet číslo 43-3686410277/0100 VS číslo domu</w:t>
      </w:r>
    </w:p>
    <w:p>
      <w:pPr>
        <w:pStyle w:val="Normal"/>
        <w:tabs>
          <w:tab w:val="left" w:pos="709" w:leader="none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poštovní poukázkou typu A  (hotovost – účet) VS číslo domu. </w:t>
      </w:r>
    </w:p>
    <w:p>
      <w:pPr>
        <w:pStyle w:val="Normal"/>
        <w:tabs>
          <w:tab w:val="left" w:pos="709" w:leader="none"/>
        </w:tabs>
        <w:ind w:firstLine="425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Číslo účtu 43-3686410277/0100 .  </w:t>
      </w:r>
      <w:r>
        <w:rPr>
          <w:sz w:val="24"/>
          <w:szCs w:val="24"/>
        </w:rPr>
        <w:t>Majitel účtu Obec Rokytno.</w:t>
      </w:r>
    </w:p>
    <w:p>
      <w:pPr>
        <w:pStyle w:val="Normal"/>
        <w:ind w:left="426" w:hanging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ind w:left="426" w:hanging="0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p>
      <w:pPr>
        <w:pStyle w:val="Normal"/>
        <w:ind w:left="426" w:hanging="0"/>
        <w:rPr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Poplatek se platí  do 30.6. příslušného roku .</w:t>
      </w:r>
      <w:r>
        <w:rPr>
          <w:sz w:val="24"/>
          <w:szCs w:val="24"/>
        </w:rPr>
        <w:t xml:space="preserve">  </w:t>
      </w:r>
      <w:r>
        <w:rPr>
          <w:rFonts w:eastAsia="Calibri" w:eastAsiaTheme="minorHAnsi"/>
          <w:color w:val="000000" w:themeColor="text1"/>
          <w:sz w:val="24"/>
          <w:szCs w:val="24"/>
        </w:rPr>
        <w:t>Plátce poplatku, který nabyl postavení plátce poplatku         po 30.6., odvede vybraný poplatek nejpozději do 31.12.</w:t>
      </w:r>
      <w:r>
        <w:rPr>
          <w:color w:val="000000" w:themeColor="text1"/>
          <w:sz w:val="24"/>
          <w:szCs w:val="24"/>
        </w:rPr>
        <w:t xml:space="preserve">  příslušného kalendářního roku.</w:t>
      </w:r>
    </w:p>
    <w:p>
      <w:pPr>
        <w:pStyle w:val="Normal"/>
        <w:ind w:left="426" w:hanging="0"/>
        <w:rPr>
          <w:color w:val="000000" w:themeColor="text1"/>
          <w:sz w:val="4"/>
          <w:szCs w:val="4"/>
        </w:rPr>
      </w:pPr>
      <w:r>
        <w:rPr>
          <w:color w:val="000000" w:themeColor="text1"/>
          <w:sz w:val="4"/>
          <w:szCs w:val="4"/>
        </w:rPr>
      </w:r>
    </w:p>
    <w:p>
      <w:pPr>
        <w:pStyle w:val="Normal"/>
        <w:ind w:left="426" w:hanging="0"/>
        <w:rPr>
          <w:color w:val="000000" w:themeColor="text1"/>
          <w:sz w:val="4"/>
          <w:szCs w:val="4"/>
        </w:rPr>
      </w:pPr>
      <w:r>
        <w:rPr>
          <w:color w:val="000000" w:themeColor="text1"/>
          <w:sz w:val="4"/>
          <w:szCs w:val="4"/>
        </w:rPr>
      </w:r>
    </w:p>
    <w:p>
      <w:pPr>
        <w:pStyle w:val="Odsazentlatextu"/>
        <w:rPr>
          <w:szCs w:val="24"/>
        </w:rPr>
      </w:pPr>
      <w:r>
        <w:rPr>
          <w:rFonts w:ascii="Times New Roman" w:hAnsi="Times New Roman"/>
        </w:rPr>
        <w:t xml:space="preserve">Obec Rokytno informuje o zpracování osobních údajů na webových stránkách </w:t>
      </w:r>
      <w:hyperlink r:id="rId2">
        <w:r>
          <w:rPr>
            <w:rStyle w:val="Internetovodkaz"/>
            <w:rFonts w:ascii="Times New Roman" w:hAnsi="Times New Roman"/>
            <w:color w:val="auto"/>
          </w:rPr>
          <w:t>https://www.rokytno.eu/zpracovani-osobnich-udaju</w:t>
        </w:r>
      </w:hyperlink>
    </w:p>
    <w:sectPr>
      <w:type w:val="nextPage"/>
      <w:pgSz w:w="11906" w:h="16838"/>
      <w:pgMar w:left="454" w:right="454" w:header="0" w:top="510" w:footer="0" w:bottom="34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Univers Extended">
    <w:charset w:val="ee"/>
    <w:family w:val="roman"/>
    <w:pitch w:val="variable"/>
  </w:font>
  <w:font w:name="Consola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Black">
    <w:charset w:val="ee"/>
    <w:family w:val="roman"/>
    <w:pitch w:val="variable"/>
  </w:font>
  <w:font w:name="Challenge Extra Bold CE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c012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qFormat/>
    <w:rsid w:val="002c0121"/>
    <w:pPr>
      <w:keepNext w:val="true"/>
      <w:outlineLvl w:val="0"/>
    </w:pPr>
    <w:rPr>
      <w:color w:val="000000"/>
      <w:sz w:val="24"/>
      <w:u w:val="single"/>
    </w:rPr>
  </w:style>
  <w:style w:type="paragraph" w:styleId="Nadpis2">
    <w:name w:val="Heading 2"/>
    <w:basedOn w:val="Normal"/>
    <w:next w:val="Normal"/>
    <w:qFormat/>
    <w:rsid w:val="002c0121"/>
    <w:pPr>
      <w:keepNext w:val="true"/>
      <w:tabs>
        <w:tab w:val="clear" w:pos="709"/>
        <w:tab w:val="left" w:pos="3742" w:leader="dot"/>
      </w:tabs>
      <w:jc w:val="center"/>
      <w:outlineLvl w:val="1"/>
    </w:pPr>
    <w:rPr>
      <w:rFonts w:ascii="Univers Extended" w:hAnsi="Univers Extended"/>
      <w:outline/>
      <w:color w:val="000000"/>
      <w:sz w:val="4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al"/>
    <w:next w:val="Normal"/>
    <w:link w:val="Nadpis3Char"/>
    <w:qFormat/>
    <w:rsid w:val="002c0121"/>
    <w:pPr>
      <w:keepNext w:val="true"/>
      <w:jc w:val="center"/>
      <w:outlineLvl w:val="2"/>
    </w:pPr>
    <w:rPr>
      <w:b/>
      <w:i/>
      <w:sz w:val="32"/>
    </w:rPr>
  </w:style>
  <w:style w:type="paragraph" w:styleId="Nadpis4">
    <w:name w:val="Heading 4"/>
    <w:basedOn w:val="Normal"/>
    <w:next w:val="Normal"/>
    <w:qFormat/>
    <w:rsid w:val="002c0121"/>
    <w:pPr>
      <w:keepNext w:val="true"/>
      <w:tabs>
        <w:tab w:val="clear" w:pos="709"/>
        <w:tab w:val="left" w:pos="3742" w:leader="dot"/>
      </w:tabs>
      <w:jc w:val="both"/>
      <w:outlineLvl w:val="3"/>
    </w:pPr>
    <w:rPr>
      <w:rFonts w:ascii="Univers Extended" w:hAnsi="Univers Extended"/>
      <w:b/>
      <w:sz w:val="28"/>
    </w:rPr>
  </w:style>
  <w:style w:type="paragraph" w:styleId="Nadpis5">
    <w:name w:val="Heading 5"/>
    <w:basedOn w:val="Normal"/>
    <w:next w:val="Normal"/>
    <w:qFormat/>
    <w:rsid w:val="002c0121"/>
    <w:pPr>
      <w:keepNext w:val="true"/>
      <w:outlineLvl w:val="4"/>
    </w:pPr>
    <w:rPr>
      <w:color w:val="000000"/>
      <w:sz w:val="48"/>
    </w:rPr>
  </w:style>
  <w:style w:type="paragraph" w:styleId="Nadpis6">
    <w:name w:val="Heading 6"/>
    <w:basedOn w:val="Normal"/>
    <w:next w:val="Normal"/>
    <w:qFormat/>
    <w:rsid w:val="002c0121"/>
    <w:pPr>
      <w:keepNext w:val="true"/>
      <w:outlineLvl w:val="5"/>
    </w:pPr>
    <w:rPr>
      <w:b/>
      <w:color w:val="000000"/>
      <w:sz w:val="28"/>
    </w:rPr>
  </w:style>
  <w:style w:type="paragraph" w:styleId="Nadpis7">
    <w:name w:val="Heading 7"/>
    <w:basedOn w:val="Normal"/>
    <w:next w:val="Normal"/>
    <w:qFormat/>
    <w:rsid w:val="002c0121"/>
    <w:pPr>
      <w:keepNext w:val="true"/>
      <w:tabs>
        <w:tab w:val="clear" w:pos="709"/>
        <w:tab w:val="left" w:pos="3742" w:leader="dot"/>
      </w:tabs>
      <w:jc w:val="both"/>
      <w:outlineLvl w:val="6"/>
    </w:pPr>
    <w:rPr>
      <w:rFonts w:ascii="Univers Extended" w:hAnsi="Univers Extended"/>
      <w:b/>
      <w:sz w:val="24"/>
    </w:rPr>
  </w:style>
  <w:style w:type="paragraph" w:styleId="Nadpis8">
    <w:name w:val="Heading 8"/>
    <w:basedOn w:val="Normal"/>
    <w:next w:val="Normal"/>
    <w:qFormat/>
    <w:rsid w:val="002c0121"/>
    <w:pPr>
      <w:keepNext w:val="true"/>
      <w:outlineLvl w:val="7"/>
    </w:pPr>
    <w:rPr>
      <w:sz w:val="24"/>
    </w:rPr>
  </w:style>
  <w:style w:type="paragraph" w:styleId="Nadpis9">
    <w:name w:val="Heading 9"/>
    <w:basedOn w:val="Normal"/>
    <w:next w:val="Normal"/>
    <w:qFormat/>
    <w:rsid w:val="002c0121"/>
    <w:pPr>
      <w:keepNext w:val="true"/>
      <w:outlineLvl w:val="8"/>
    </w:pPr>
    <w:rPr>
      <w:b/>
      <w:color w:val="000000"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sid w:val="002c0121"/>
    <w:rPr>
      <w:color w:val="0000FF"/>
      <w:u w:val="single"/>
    </w:rPr>
  </w:style>
  <w:style w:type="character" w:styleId="Strong">
    <w:name w:val="Strong"/>
    <w:uiPriority w:val="22"/>
    <w:qFormat/>
    <w:rsid w:val="002c0121"/>
    <w:rPr>
      <w:b/>
    </w:rPr>
  </w:style>
  <w:style w:type="character" w:styleId="ZkladntextChar" w:customStyle="1">
    <w:name w:val="Základní text Char"/>
    <w:link w:val="Zkladntext"/>
    <w:qFormat/>
    <w:rsid w:val="00e50200"/>
    <w:rPr>
      <w:color w:val="000000"/>
      <w:sz w:val="24"/>
      <w:lang w:val="cs-CZ" w:eastAsia="cs-CZ" w:bidi="ar-SA"/>
    </w:rPr>
  </w:style>
  <w:style w:type="character" w:styleId="ProsttextChar" w:customStyle="1">
    <w:name w:val="Prostý text Char"/>
    <w:link w:val="Prosttext"/>
    <w:qFormat/>
    <w:rsid w:val="00dc2480"/>
    <w:rPr>
      <w:rFonts w:ascii="Consolas" w:hAnsi="Consolas" w:eastAsia="Calibri"/>
      <w:sz w:val="21"/>
      <w:szCs w:val="21"/>
      <w:lang w:val="cs-CZ" w:eastAsia="en-US" w:bidi="ar-SA"/>
    </w:rPr>
  </w:style>
  <w:style w:type="character" w:styleId="ZpatChar" w:customStyle="1">
    <w:name w:val="Zápatí Char"/>
    <w:basedOn w:val="DefaultParagraphFont"/>
    <w:link w:val="Zpat"/>
    <w:qFormat/>
    <w:rsid w:val="00bc00ba"/>
    <w:rPr/>
  </w:style>
  <w:style w:type="character" w:styleId="Zvraznn1" w:customStyle="1">
    <w:name w:val="Zvýraznění1"/>
    <w:qFormat/>
    <w:rsid w:val="00411aaf"/>
    <w:rPr>
      <w:i/>
      <w:iCs/>
    </w:rPr>
  </w:style>
  <w:style w:type="character" w:styleId="Titlepagedefcolor" w:customStyle="1">
    <w:name w:val="title_page def_color"/>
    <w:basedOn w:val="DefaultParagraphFont"/>
    <w:qFormat/>
    <w:rsid w:val="00110769"/>
    <w:rPr/>
  </w:style>
  <w:style w:type="character" w:styleId="TextbublinyChar" w:customStyle="1">
    <w:name w:val="Text bubliny Char"/>
    <w:link w:val="Textbubliny"/>
    <w:qFormat/>
    <w:rsid w:val="00fa5a76"/>
    <w:rPr>
      <w:rFonts w:ascii="Tahoma" w:hAnsi="Tahoma" w:cs="Tahoma"/>
      <w:sz w:val="16"/>
      <w:szCs w:val="16"/>
    </w:rPr>
  </w:style>
  <w:style w:type="character" w:styleId="Nadpis3Char" w:customStyle="1">
    <w:name w:val="Nadpis 3 Char"/>
    <w:link w:val="Nadpis3"/>
    <w:qFormat/>
    <w:rsid w:val="00f57a56"/>
    <w:rPr>
      <w:b/>
      <w:i/>
      <w:sz w:val="32"/>
    </w:rPr>
  </w:style>
  <w:style w:type="character" w:styleId="Ftresult" w:customStyle="1">
    <w:name w:val="ftresult"/>
    <w:basedOn w:val="DefaultParagraphFont"/>
    <w:qFormat/>
    <w:rsid w:val="00fc59fe"/>
    <w:rPr/>
  </w:style>
  <w:style w:type="character" w:styleId="Zdraznn">
    <w:name w:val="Zdůraznění"/>
    <w:basedOn w:val="DefaultParagraphFont"/>
    <w:qFormat/>
    <w:rsid w:val="00715c45"/>
    <w:rPr>
      <w:i/>
      <w:i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2c0121"/>
    <w:pPr>
      <w:jc w:val="right"/>
    </w:pPr>
    <w:rPr>
      <w:color w:val="000000"/>
      <w:sz w:val="24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lockText">
    <w:name w:val="Block Text"/>
    <w:basedOn w:val="Normal"/>
    <w:qFormat/>
    <w:rsid w:val="002c0121"/>
    <w:pPr>
      <w:shd w:val="pct25" w:color="FFFFFF" w:fill="auto"/>
      <w:spacing w:before="0" w:after="240"/>
      <w:ind w:left="180" w:right="270" w:hanging="0"/>
      <w:jc w:val="center"/>
    </w:pPr>
    <w:rPr>
      <w:rFonts w:ascii="Arial Black" w:hAnsi="Arial Black"/>
      <w:b/>
      <w:outline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odyText2">
    <w:name w:val="Body Text 2"/>
    <w:basedOn w:val="Normal"/>
    <w:qFormat/>
    <w:rsid w:val="002c0121"/>
    <w:pPr>
      <w:tabs>
        <w:tab w:val="clear" w:pos="709"/>
        <w:tab w:val="left" w:pos="3742" w:leader="dot"/>
      </w:tabs>
      <w:jc w:val="both"/>
    </w:pPr>
    <w:rPr>
      <w:color w:val="000000"/>
      <w:sz w:val="24"/>
    </w:rPr>
  </w:style>
  <w:style w:type="paragraph" w:styleId="Annotationtext">
    <w:name w:val="annotation text"/>
    <w:basedOn w:val="Normal"/>
    <w:semiHidden/>
    <w:qFormat/>
    <w:rsid w:val="002c0121"/>
    <w:pPr/>
    <w:rPr>
      <w:color w:val="000000"/>
    </w:rPr>
  </w:style>
  <w:style w:type="paragraph" w:styleId="BodyText3">
    <w:name w:val="Body Text 3"/>
    <w:basedOn w:val="Normal"/>
    <w:qFormat/>
    <w:rsid w:val="002c0121"/>
    <w:pPr/>
    <w:rPr>
      <w:color w:val="000000"/>
      <w:sz w:val="24"/>
    </w:rPr>
  </w:style>
  <w:style w:type="paragraph" w:styleId="BodyTextIndent3">
    <w:name w:val="Body Text Indent 3"/>
    <w:basedOn w:val="Normal"/>
    <w:qFormat/>
    <w:rsid w:val="002c0121"/>
    <w:pPr>
      <w:ind w:firstLine="360"/>
      <w:jc w:val="right"/>
    </w:pPr>
    <w:rPr>
      <w:color w:val="000000"/>
      <w:sz w:val="24"/>
    </w:rPr>
  </w:style>
  <w:style w:type="paragraph" w:styleId="Rozvrendokumentu1" w:customStyle="1">
    <w:name w:val="Rozvržení dokumentu1"/>
    <w:basedOn w:val="Normal"/>
    <w:semiHidden/>
    <w:qFormat/>
    <w:rsid w:val="002c0121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qFormat/>
    <w:rsid w:val="002c0121"/>
    <w:pPr>
      <w:ind w:firstLine="708"/>
      <w:jc w:val="both"/>
    </w:pPr>
    <w:rPr>
      <w:sz w:val="24"/>
    </w:rPr>
  </w:style>
  <w:style w:type="paragraph" w:styleId="Odsazentlatextu">
    <w:name w:val="Body Text Indent"/>
    <w:basedOn w:val="Normal"/>
    <w:rsid w:val="002c0121"/>
    <w:pPr>
      <w:ind w:left="426" w:hanging="0"/>
    </w:pPr>
    <w:rPr>
      <w:rFonts w:ascii="Challenge Extra Bold CE" w:hAnsi="Challenge Extra Bold CE"/>
      <w:sz w:val="24"/>
    </w:rPr>
  </w:style>
  <w:style w:type="paragraph" w:styleId="Import6" w:customStyle="1">
    <w:name w:val="Import 6"/>
    <w:basedOn w:val="Normal"/>
    <w:qFormat/>
    <w:rsid w:val="002c0121"/>
    <w:pPr>
      <w:widowControl w:val="false"/>
      <w:tabs>
        <w:tab w:val="clear" w:pos="709"/>
        <w:tab w:val="left" w:pos="4320" w:leader="none"/>
      </w:tabs>
      <w:spacing w:lineRule="auto" w:line="218"/>
      <w:ind w:left="864" w:hanging="0"/>
    </w:pPr>
    <w:rPr>
      <w:rFonts w:ascii="Courier New" w:hAnsi="Courier New"/>
      <w:sz w:val="24"/>
    </w:rPr>
  </w:style>
  <w:style w:type="paragraph" w:styleId="Import9" w:customStyle="1">
    <w:name w:val="Import 9"/>
    <w:basedOn w:val="Normal"/>
    <w:qFormat/>
    <w:rsid w:val="002c0121"/>
    <w:pPr>
      <w:widowControl w:val="false"/>
      <w:tabs>
        <w:tab w:val="clear" w:pos="709"/>
        <w:tab w:val="left" w:pos="720" w:leader="none"/>
        <w:tab w:val="left" w:pos="1584" w:leader="none"/>
        <w:tab w:val="left" w:pos="2448" w:leader="none"/>
        <w:tab w:val="left" w:pos="3312" w:leader="none"/>
        <w:tab w:val="left" w:pos="4176" w:leader="none"/>
        <w:tab w:val="left" w:pos="5040" w:leader="none"/>
        <w:tab w:val="left" w:pos="5904" w:leader="none"/>
        <w:tab w:val="left" w:pos="6768" w:leader="none"/>
        <w:tab w:val="left" w:pos="7632" w:leader="none"/>
        <w:tab w:val="left" w:pos="8496" w:leader="none"/>
        <w:tab w:val="left" w:pos="9360" w:leader="none"/>
        <w:tab w:val="left" w:pos="10224" w:leader="none"/>
        <w:tab w:val="left" w:pos="11088" w:leader="none"/>
        <w:tab w:val="left" w:pos="11952" w:leader="none"/>
        <w:tab w:val="left" w:pos="12816" w:leader="none"/>
        <w:tab w:val="left" w:pos="13680" w:leader="none"/>
        <w:tab w:val="left" w:pos="14544" w:leader="none"/>
        <w:tab w:val="left" w:pos="15408" w:leader="none"/>
        <w:tab w:val="left" w:pos="16272" w:leader="none"/>
        <w:tab w:val="left" w:pos="17136" w:leader="none"/>
        <w:tab w:val="left" w:pos="18000" w:leader="none"/>
        <w:tab w:val="left" w:pos="18864" w:leader="none"/>
      </w:tabs>
      <w:spacing w:lineRule="auto" w:line="218"/>
      <w:ind w:left="5184" w:hanging="0"/>
    </w:pPr>
    <w:rPr>
      <w:rFonts w:ascii="Courier New" w:hAnsi="Courier New"/>
      <w:sz w:val="24"/>
    </w:rPr>
  </w:style>
  <w:style w:type="paragraph" w:styleId="Normln1" w:customStyle="1">
    <w:name w:val="Normální1"/>
    <w:basedOn w:val="Normal"/>
    <w:qFormat/>
    <w:rsid w:val="002c0121"/>
    <w:pPr>
      <w:widowControl w:val="false"/>
    </w:pPr>
    <w:rPr>
      <w:color w:val="000000"/>
      <w:sz w:val="36"/>
    </w:rPr>
  </w:style>
  <w:style w:type="paragraph" w:styleId="Nnormln" w:customStyle="1">
    <w:name w:val="Nnormální"/>
    <w:basedOn w:val="BodyText2"/>
    <w:qFormat/>
    <w:rsid w:val="002c0121"/>
    <w:pPr>
      <w:tabs>
        <w:tab w:val="clear" w:pos="3742"/>
      </w:tabs>
      <w:jc w:val="left"/>
    </w:pPr>
    <w:rPr>
      <w:b/>
      <w:sz w:val="48"/>
    </w:rPr>
  </w:style>
  <w:style w:type="paragraph" w:styleId="Nzev">
    <w:name w:val="Title"/>
    <w:basedOn w:val="Normal"/>
    <w:qFormat/>
    <w:rsid w:val="002c0121"/>
    <w:pPr>
      <w:jc w:val="center"/>
    </w:pPr>
    <w:rPr>
      <w:b/>
      <w:i/>
      <w:sz w:val="24"/>
      <w:u w:val="single"/>
    </w:rPr>
  </w:style>
  <w:style w:type="paragraph" w:styleId="Obsah1">
    <w:name w:val="TOC 1"/>
    <w:basedOn w:val="Normal"/>
    <w:next w:val="Normal"/>
    <w:autoRedefine/>
    <w:semiHidden/>
    <w:rsid w:val="002c0121"/>
    <w:pPr/>
    <w:rPr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2c0121"/>
    <w:pPr>
      <w:tabs>
        <w:tab w:val="clear" w:pos="709"/>
        <w:tab w:val="center" w:pos="4536" w:leader="none"/>
        <w:tab w:val="right" w:pos="9072" w:leader="none"/>
      </w:tabs>
    </w:pPr>
    <w:rPr>
      <w:rFonts w:ascii="Arial" w:hAnsi="Arial"/>
      <w:sz w:val="24"/>
    </w:rPr>
  </w:style>
  <w:style w:type="paragraph" w:styleId="Normal1" w:customStyle="1">
    <w:name w:val="[Normal]"/>
    <w:qFormat/>
    <w:rsid w:val="00c47132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cs-CZ" w:eastAsia="cs-CZ" w:bidi="ar-SA"/>
    </w:rPr>
  </w:style>
  <w:style w:type="paragraph" w:styleId="NormalWeb">
    <w:name w:val="Normal (Web)"/>
    <w:basedOn w:val="Normal"/>
    <w:qFormat/>
    <w:rsid w:val="008901bf"/>
    <w:pPr>
      <w:spacing w:beforeAutospacing="1" w:afterAutospacing="1"/>
    </w:pPr>
    <w:rPr>
      <w:sz w:val="24"/>
      <w:szCs w:val="24"/>
    </w:rPr>
  </w:style>
  <w:style w:type="paragraph" w:styleId="PlainText">
    <w:name w:val="Plain Text"/>
    <w:basedOn w:val="Normal"/>
    <w:link w:val="ProsttextChar"/>
    <w:unhideWhenUsed/>
    <w:qFormat/>
    <w:rsid w:val="00dc2480"/>
    <w:pPr/>
    <w:rPr>
      <w:rFonts w:ascii="Consolas" w:hAnsi="Consolas" w:eastAsia="Calibri"/>
      <w:sz w:val="21"/>
      <w:szCs w:val="21"/>
      <w:lang w:eastAsia="en-US"/>
    </w:rPr>
  </w:style>
  <w:style w:type="paragraph" w:styleId="Zpat">
    <w:name w:val="Footer"/>
    <w:basedOn w:val="Normal"/>
    <w:link w:val="ZpatChar"/>
    <w:rsid w:val="00bc00ba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1"/>
    <w:qFormat/>
    <w:rsid w:val="00411aaf"/>
    <w:pPr>
      <w:ind w:left="708" w:hanging="0"/>
    </w:pPr>
    <w:rPr/>
  </w:style>
  <w:style w:type="paragraph" w:styleId="Default" w:customStyle="1">
    <w:name w:val="Default"/>
    <w:qFormat/>
    <w:rsid w:val="00411aa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cs-CZ" w:eastAsia="cs-CZ" w:bidi="ar-SA"/>
    </w:rPr>
  </w:style>
  <w:style w:type="paragraph" w:styleId="BalloonText">
    <w:name w:val="Balloon Text"/>
    <w:basedOn w:val="Normal"/>
    <w:link w:val="TextbublinyChar"/>
    <w:qFormat/>
    <w:rsid w:val="00fa5a76"/>
    <w:pPr/>
    <w:rPr>
      <w:rFonts w:ascii="Tahoma" w:hAnsi="Tahoma"/>
      <w:sz w:val="16"/>
      <w:szCs w:val="16"/>
    </w:rPr>
  </w:style>
  <w:style w:type="paragraph" w:styleId="H1" w:customStyle="1">
    <w:name w:val="H1"/>
    <w:basedOn w:val="Normal"/>
    <w:next w:val="Normal"/>
    <w:qFormat/>
    <w:rsid w:val="003d4240"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okytno.eu/zpracovani-osobnich-udaj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C7978-C793-4A17-91D3-3FB7E7F0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LibreOffice/7.1.6.2$Windows_X86_64 LibreOffice_project/0e133318fcee89abacd6a7d077e292f1145735c3</Application>
  <AppVersion>15.0000</AppVersion>
  <Pages>2</Pages>
  <Words>222</Words>
  <Characters>1366</Characters>
  <CharactersWithSpaces>1966</CharactersWithSpaces>
  <Paragraphs>41</Paragraphs>
  <Company>Rokytno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2021-12-13T12:54:00Z</dcterms:created>
  <dc:creator>Obec</dc:creator>
  <dc:description/>
  <dc:language>cs-CZ</dc:language>
  <cp:lastModifiedBy>obecní úřad</cp:lastModifiedBy>
  <cp:lastPrinted>2021-12-13T13:40:00Z</cp:lastPrinted>
  <dcterms:modified xsi:type="dcterms:W3CDTF">2021-12-15T11:08:00Z</dcterms:modified>
  <cp:revision>10</cp:revision>
  <dc:subject/>
  <dc:title>RokytEnské noviny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